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V1.7</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2018-05-07</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更新V2.16的迭代功能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1.兼容XP系统chrome41版本</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2.增加VIP批量续期的二次确认弹窗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3.VIP开通续费模块VIP名称改为下拉框；</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4.VIP开通续费增加二次确认弹窗；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5.地上地下嵌入停车场可设置共有免费时长；</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6.屏蔽VEMS数据权限的区分。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_Toc12130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_Toc12130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_Toc14662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_Toc2881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_Toc14155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_Toc14155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_Toc14958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_Toc5036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_Toc14001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_Toc32087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_Toc9844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_Toc20317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_Toc20317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_Toc21907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_Toc14095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_Toc4466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_Toc13360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_Toc27382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_Toc2965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_Toc13590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_Toc18408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_Toc3357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_Toc25044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_Toc11519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_Toc22831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_Toc29562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_Toc12341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_Toc24226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_Toc20272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_Toc19705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_Toc23666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_Toc28156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_Toc10800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_Toc20748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_Toc65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_Toc9399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_Toc2242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_Toc29001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_Toc7919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_Toc12480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_Toc31152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_Toc30628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_Toc14255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_Toc15691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_Toc16621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_Toc1938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_Toc21042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_Toc7448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_Toc26827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_Toc14959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_Toc14711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_Toc27124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_Toc29550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_Toc23325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_Toc22757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_Toc15746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_Toc16513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_Toc1263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_Toc28567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_Toc26427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_Toc31527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_Toc31527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_Toc10693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_Toc3575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_Toc17332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_Toc9269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_Toc17272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_Toc4494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_Toc6431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_Toc3230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_Toc13432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_Toc4890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_Toc7445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_Toc21551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_Toc7091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_Toc31457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_Toc1939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_Toc16508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_Toc8121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_Toc12102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_Toc22338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_Toc29982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_Toc4506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_Toc11003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_Toc11003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_Toc11790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_Toc11790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_Toc9248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_Toc15668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_Toc21642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_Toc10630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_Toc20874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_Toc15556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_Toc2226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_Toc5575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_Toc3801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_Toc10724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_Toc20594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_Toc5735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_Toc30108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_Toc27376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_Toc8071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_Toc8071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_Toc7100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_Toc7100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_Toc4641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_Toc792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_Toc13362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_Toc21396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_Toc21396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_Toc24909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_Toc10419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_Toc9275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_Toc4646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_Toc26060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_Toc5590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_Toc15158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_Toc18249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_Toc6251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_Toc18214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_Toc3589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_Toc21476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_Toc14273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_Toc7402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_Toc26526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_Toc21414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_Toc15125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_Toc4709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_Toc4709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_Toc29455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_Toc12023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_Toc27772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_Toc32610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_Toc18111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_Toc2350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_Toc28226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_Toc6160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_Toc13558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_Toc24324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_Toc12171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_Toc7952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_Toc1439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_Toc26952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_Toc5178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_Toc32205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_Toc32077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_Toc6101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_Toc21522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_Toc14092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_Toc21885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_Toc21885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_Toc14530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_Toc14530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_Toc21787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_Toc26564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_Toc2587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_Toc8152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_Toc1352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_Toc18991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_Toc8263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_Toc25161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_Toc30550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_Toc28449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_Toc19032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_Toc31390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_Toc18167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_Toc8601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_Toc3361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_Toc26866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_Toc2096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_Toc10389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_Toc19060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_Toc9054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_Toc17920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_Toc23339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_Toc21733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_Toc27316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_Toc21570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_Toc15062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_Toc28880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_Toc22384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_Toc30932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_Toc26270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_Toc13035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_Toc12281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_Toc1307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_Toc2627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_Toc28882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_Toc4092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_Toc23338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_Toc23563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_Toc23767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_Toc4119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_Toc21921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_Toc9879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_Toc20646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_Toc13970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_Toc26544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_Toc15906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_Toc1563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_Toc29231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_Toc29231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_Toc12328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_Toc17674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_Toc22962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_Toc8902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_Toc28561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_Toc6539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_Toc4415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_Toc5421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_Toc9335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_Toc20685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_Toc31455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_Toc30298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_Toc16900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_Toc25377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_Toc30766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_Toc460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_Toc13524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_Toc28039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_Toc18874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_Toc28455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_Toc10756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_Toc11381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_Toc11960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_Toc25374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_Toc19596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_Toc5075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_Toc5075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_Toc11510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_Toc26517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_Toc27855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_Toc10314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_Toc5393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_Toc12039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_Toc18033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_Toc32190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_Toc5864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_Toc10022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_Toc22633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_Toc32537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_Toc31312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_Toc7874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_Toc855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_Toc25419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_Toc20490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_Toc748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_Toc25111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_Toc29583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_Toc12018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_Toc30555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_Toc4246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_Toc1775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_Toc20856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_Toc19983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_Toc21732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_Toc22282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_Toc10068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_Toc8755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_Toc24203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_Toc4629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_Toc12150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_Toc6728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_Toc4128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_Toc20000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_Toc11836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_Toc5504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w:t>
      </w:r>
      <w:r>
        <w:rPr>
          <w:rFonts w:hint="eastAsia" w:ascii="微软雅黑" w:hAnsi="微软雅黑" w:eastAsia="微软雅黑"/>
          <w:color w:val="000000"/>
          <w:sz w:val="24"/>
          <w:lang w:val="en-US" w:eastAsia="zh-CN"/>
        </w:rPr>
        <w:t>41</w:t>
      </w:r>
      <w:r>
        <w:rPr>
          <w:rFonts w:hint="eastAsia" w:ascii="微软雅黑" w:hAnsi="微软雅黑" w:eastAsia="微软雅黑"/>
          <w:color w:val="000000"/>
          <w:sz w:val="24"/>
          <w:lang w:val="zh-CN"/>
        </w:rPr>
        <w:t>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lang w:val="en-US" w:eastAsia="zh-CN"/>
        </w:rPr>
      </w:pPr>
      <w:r>
        <w:drawing>
          <wp:inline distT="0" distB="0" distL="114300" distR="114300">
            <wp:extent cx="6178550" cy="2907030"/>
            <wp:effectExtent l="0" t="0" r="6350" b="127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
                    <a:stretch>
                      <a:fillRect/>
                    </a:stretch>
                  </pic:blipFill>
                  <pic:spPr>
                    <a:xfrm>
                      <a:off x="0" y="0"/>
                      <a:ext cx="6178550" cy="29070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2130"/>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662"/>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881"/>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14155"/>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4958"/>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5036"/>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400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32087"/>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984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0317"/>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三种，第一种是同车场再次进场，第二辆车是不同车场再次进场，即当同辆车已有在场记录并再次进场时，或者车辆进场时，系统检测到该车辆已有在场车辆记录，则将把前一次的进场记录归为异常进场记录。第三</w:t>
      </w:r>
      <w:bookmarkStart w:id="252" w:name="_GoBack"/>
      <w:bookmarkEnd w:id="252"/>
      <w:r>
        <w:rPr>
          <w:rFonts w:hint="eastAsia" w:ascii="微软雅黑" w:hAnsi="微软雅黑" w:eastAsia="微软雅黑" w:cs="微软雅黑"/>
          <w:b w:val="0"/>
          <w:bCs/>
          <w:kern w:val="2"/>
          <w:sz w:val="24"/>
          <w:szCs w:val="24"/>
          <w:lang w:val="en-US" w:eastAsia="zh-CN" w:bidi="ar-SA"/>
        </w:rPr>
        <w:t>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21907"/>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14095"/>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446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13360"/>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7382"/>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965"/>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3590"/>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84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357"/>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368"/>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5044"/>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1519"/>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2831"/>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29562"/>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234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4226"/>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0272"/>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705"/>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3666"/>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8156"/>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080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0748"/>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65"/>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9399"/>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242"/>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29001"/>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7919"/>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2480"/>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1152"/>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3062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4255"/>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5691"/>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6621"/>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1938"/>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2104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7448"/>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26827"/>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959"/>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711"/>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7124"/>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9550"/>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3325"/>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2757"/>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5746"/>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16513"/>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1263"/>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856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6427"/>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3152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93"/>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357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7332"/>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drawing>
          <wp:inline distT="0" distB="0" distL="114300" distR="114300">
            <wp:extent cx="6181725" cy="2849245"/>
            <wp:effectExtent l="0" t="0" r="3175" b="8255"/>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4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9269"/>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填写相关信息并点击“确认”按钮后，将弹出确认弹窗（确认包括VIP名称、车主姓名、车牌号码、VIP续费有效期和折后价等信息），用户确认操作后将执行开通VIP操作。</w:t>
      </w:r>
    </w:p>
    <w:p>
      <w:pPr>
        <w:widowControl w:val="0"/>
        <w:numPr>
          <w:ilvl w:val="0"/>
          <w:numId w:val="0"/>
        </w:numPr>
        <w:spacing w:line="360" w:lineRule="auto"/>
        <w:jc w:val="both"/>
      </w:pPr>
      <w:r>
        <w:drawing>
          <wp:inline distT="0" distB="0" distL="114300" distR="114300">
            <wp:extent cx="6181725" cy="2849245"/>
            <wp:effectExtent l="0" t="0" r="3175" b="825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2"/>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jc w:val="cente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3"/>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4"/>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5"/>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6"/>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点击“批量续期VIP”选择续期类型填写信息并确认续费后，将弹出确认弹窗“根据筛选条件，将会为xx条符合条件的VIP信息进行续费操作，确认续费吗？”，确认操作后将执行续期操作。</w:t>
      </w:r>
    </w:p>
    <w:p>
      <w:pPr>
        <w:widowControl w:val="0"/>
        <w:numPr>
          <w:ilvl w:val="0"/>
          <w:numId w:val="0"/>
        </w:numPr>
        <w:spacing w:line="360" w:lineRule="auto"/>
        <w:jc w:val="center"/>
      </w:pPr>
      <w:r>
        <w:drawing>
          <wp:inline distT="0" distB="0" distL="114300" distR="114300">
            <wp:extent cx="6181090" cy="2727325"/>
            <wp:effectExtent l="0" t="0" r="3810" b="317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57"/>
                    <a:stretch>
                      <a:fillRect/>
                    </a:stretch>
                  </pic:blipFill>
                  <pic:spPr>
                    <a:xfrm>
                      <a:off x="0" y="0"/>
                      <a:ext cx="6181090" cy="272732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9"/>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对VIP票单条对象执行续费、暂停、恢复、重开等基本控制操作。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续费/重开：为VIP票执行续费/重开操作。如下图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0"/>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1"/>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2"/>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pPr>
      <w:r>
        <w:rPr>
          <w:rFonts w:hint="eastAsia" w:ascii="微软雅黑" w:hAnsi="微软雅黑" w:eastAsia="微软雅黑" w:cs="微软雅黑"/>
          <w:b w:val="0"/>
          <w:bCs/>
          <w:kern w:val="2"/>
          <w:sz w:val="24"/>
          <w:szCs w:val="24"/>
          <w:lang w:val="en-US" w:eastAsia="zh-CN" w:bidi="ar-SA"/>
        </w:rPr>
        <w:t>点击“续费”按钮填写信息并确认续费后，将弹出确认弹窗（确认包括VIP名称、车主姓名、车牌号码、VIP续费有效期和折后价等信息），用户确认操作后将执行续费/重开操作。</w:t>
      </w:r>
    </w:p>
    <w:p>
      <w:pPr>
        <w:widowControl w:val="0"/>
        <w:numPr>
          <w:ilvl w:val="0"/>
          <w:numId w:val="0"/>
        </w:numPr>
        <w:spacing w:line="360" w:lineRule="auto"/>
        <w:jc w:val="center"/>
        <w:rPr>
          <w:rFonts w:hint="eastAsia"/>
          <w:lang w:val="en-US" w:eastAsia="zh-CN"/>
        </w:rPr>
      </w:pPr>
      <w:r>
        <w:drawing>
          <wp:inline distT="0" distB="0" distL="114300" distR="114300">
            <wp:extent cx="6184265" cy="2854960"/>
            <wp:effectExtent l="0" t="0" r="635" b="254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3"/>
                    <a:stretch>
                      <a:fillRect/>
                    </a:stretch>
                  </pic:blipFill>
                  <pic:spPr>
                    <a:xfrm>
                      <a:off x="0" y="0"/>
                      <a:ext cx="6184265" cy="28549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4"/>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17272"/>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4494"/>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6431"/>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5"/>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323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6"/>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7"/>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8"/>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9"/>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0"/>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134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489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7445"/>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21551"/>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72"/>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709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457"/>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939"/>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16508"/>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4"/>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8121"/>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12102"/>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2338"/>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2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6"/>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9982"/>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4506"/>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1003"/>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7"/>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790"/>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9248"/>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9"/>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80"/>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81"/>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82"/>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68"/>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1642"/>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0630"/>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0874"/>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5556"/>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226"/>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5575"/>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3801"/>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724"/>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0594"/>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5735"/>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3010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7376"/>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8071"/>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7100"/>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4641"/>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792"/>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1336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1396"/>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7"/>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490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0419"/>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8"/>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9"/>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90"/>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91"/>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92"/>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9275"/>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4646"/>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606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5590"/>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3"/>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1515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4"/>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5"/>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249"/>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6251"/>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214"/>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6"/>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3589"/>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7"/>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8"/>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9"/>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00"/>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147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427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7402"/>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01"/>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6526"/>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02"/>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21414"/>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15125"/>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4709"/>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3"/>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455"/>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2023"/>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2777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3261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18111"/>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350"/>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6"/>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2822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616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3558"/>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8"/>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24324"/>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12171"/>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7952"/>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1439"/>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9"/>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6952"/>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11"/>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5178"/>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220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32077"/>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6101"/>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4"/>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5"/>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6"/>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152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4092"/>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1885"/>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14530"/>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9"/>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20"/>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21"/>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21787"/>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26564"/>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2587"/>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8152"/>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3"/>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4"/>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352"/>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8991"/>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8263"/>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5"/>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5161"/>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6"/>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7"/>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30550"/>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28449"/>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19032"/>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8"/>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31390"/>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9"/>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30"/>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31"/>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8167"/>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8601"/>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3361"/>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866"/>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096"/>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0389"/>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19060"/>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9054"/>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7920"/>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3339"/>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1733"/>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27316"/>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
                    <pic:cNvPicPr>
                      <a:picLocks noChangeAspect="1"/>
                    </pic:cNvPicPr>
                  </pic:nvPicPr>
                  <pic:blipFill>
                    <a:blip r:embed="rId13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21570"/>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15062"/>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8880"/>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13035"/>
      <w:r>
        <w:rPr>
          <w:rFonts w:hint="eastAsia" w:ascii="黑体" w:hAnsi="黑体" w:eastAsia="黑体" w:cs="黑体"/>
          <w:sz w:val="36"/>
          <w:szCs w:val="36"/>
          <w:lang w:val="en-US" w:eastAsia="zh-CN"/>
        </w:rPr>
        <w:t>系统用户管理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13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12281"/>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8"/>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9"/>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40"/>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1307"/>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627"/>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28882"/>
      <w:r>
        <w:rPr>
          <w:rFonts w:hint="eastAsia" w:ascii="黑体" w:hAnsi="黑体" w:eastAsia="黑体" w:cs="黑体"/>
          <w:sz w:val="36"/>
          <w:szCs w:val="36"/>
          <w:lang w:val="en-US" w:eastAsia="zh-CN"/>
        </w:rPr>
        <w:t>收费员管理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7"/>
                    <pic:cNvPicPr>
                      <a:picLocks noChangeAspect="1"/>
                    </pic:cNvPicPr>
                  </pic:nvPicPr>
                  <pic:blipFill>
                    <a:blip r:embed="rId14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4092"/>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2"/>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3"/>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4"/>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5"/>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3338"/>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23563"/>
      <w:r>
        <w:rPr>
          <w:rFonts w:hint="eastAsia" w:ascii="黑体" w:hAnsi="黑体" w:eastAsia="黑体" w:cs="黑体"/>
          <w:sz w:val="32"/>
          <w:szCs w:val="32"/>
          <w:lang w:val="en-US" w:eastAsia="zh-CN"/>
        </w:rPr>
        <w:t>3.3应用场景</w:t>
      </w:r>
      <w:bookmarkEnd w:id="177"/>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23767"/>
      <w:r>
        <w:rPr>
          <w:rFonts w:hint="eastAsia" w:ascii="黑体" w:hAnsi="黑体" w:eastAsia="黑体" w:cs="黑体"/>
          <w:sz w:val="36"/>
          <w:szCs w:val="36"/>
          <w:lang w:val="en-US" w:eastAsia="zh-CN"/>
        </w:rPr>
        <w:t>节假日设置</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8"/>
                    <pic:cNvPicPr>
                      <a:picLocks noChangeAspect="1"/>
                    </pic:cNvPicPr>
                  </pic:nvPicPr>
                  <pic:blipFill>
                    <a:blip r:embed="rId14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7"/>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4119"/>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8"/>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9"/>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50"/>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21921"/>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9879"/>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0646"/>
      <w:r>
        <w:rPr>
          <w:rFonts w:hint="eastAsia" w:ascii="黑体" w:hAnsi="黑体" w:eastAsia="黑体" w:cs="黑体"/>
          <w:sz w:val="36"/>
          <w:szCs w:val="36"/>
          <w:lang w:val="en-US" w:eastAsia="zh-CN"/>
        </w:rPr>
        <w:t>版本说明</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
                    <pic:cNvPicPr>
                      <a:picLocks noChangeAspect="1"/>
                    </pic:cNvPicPr>
                  </pic:nvPicPr>
                  <pic:blipFill>
                    <a:blip r:embed="rId1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3" w:name="_Toc13970"/>
      <w:r>
        <w:rPr>
          <w:rFonts w:hint="eastAsia" w:ascii="黑体" w:hAnsi="黑体" w:eastAsia="黑体" w:cs="黑体"/>
          <w:sz w:val="36"/>
          <w:szCs w:val="36"/>
          <w:lang w:val="en-US" w:eastAsia="zh-CN"/>
        </w:rPr>
        <w:t>系统日志</w:t>
      </w:r>
      <w:bookmarkEnd w:id="18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15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4" w:name="_Toc26544"/>
      <w:r>
        <w:rPr>
          <w:rFonts w:hint="eastAsia" w:ascii="黑体" w:hAnsi="黑体" w:eastAsia="黑体" w:cs="黑体"/>
          <w:sz w:val="36"/>
          <w:szCs w:val="36"/>
          <w:lang w:val="en-US" w:eastAsia="zh-CN"/>
        </w:rPr>
        <w:t>收费员登录日志</w:t>
      </w:r>
      <w:bookmarkEnd w:id="18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drawing>
          <wp:inline distT="0" distB="0" distL="114300" distR="114300">
            <wp:extent cx="6181725" cy="2849245"/>
            <wp:effectExtent l="0" t="0" r="3175" b="825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15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5" w:name="_Toc15906"/>
      <w:r>
        <w:rPr>
          <w:rFonts w:hint="eastAsia" w:ascii="黑体" w:hAnsi="黑体" w:eastAsia="黑体" w:cs="黑体"/>
          <w:sz w:val="36"/>
          <w:szCs w:val="36"/>
          <w:lang w:val="en-US" w:eastAsia="zh-CN"/>
        </w:rPr>
        <w:t>字典表设置</w:t>
      </w:r>
      <w:bookmarkEnd w:id="185"/>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2"/>
                    <pic:cNvPicPr>
                      <a:picLocks noChangeAspect="1"/>
                    </pic:cNvPicPr>
                  </pic:nvPicPr>
                  <pic:blipFill>
                    <a:blip r:embed="rId15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5"/>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6" w:name="_Toc1563"/>
      <w:r>
        <w:rPr>
          <w:rFonts w:hint="eastAsia" w:ascii="黑体" w:hAnsi="黑体" w:eastAsia="黑体" w:cs="黑体"/>
          <w:sz w:val="36"/>
          <w:szCs w:val="36"/>
          <w:lang w:val="en-US" w:eastAsia="zh-CN"/>
        </w:rPr>
        <w:t>特殊功能配置</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3"/>
                    <pic:cNvPicPr>
                      <a:picLocks noChangeAspect="1"/>
                    </pic:cNvPicPr>
                  </pic:nvPicPr>
                  <pic:blipFill>
                    <a:blip r:embed="rId15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7"/>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8"/>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7" w:name="_Toc29231"/>
      <w:r>
        <w:rPr>
          <w:rFonts w:hint="eastAsia" w:ascii="Arial" w:hAnsi="Arial" w:eastAsia="微软雅黑" w:cstheme="minorBidi"/>
          <w:b w:val="0"/>
          <w:bCs/>
          <w:kern w:val="2"/>
          <w:sz w:val="36"/>
          <w:szCs w:val="36"/>
          <w:lang w:val="en-US" w:eastAsia="zh-CN" w:bidi="ar-SA"/>
        </w:rPr>
        <w:t>停车场管理</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9"/>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12328"/>
      <w:r>
        <w:rPr>
          <w:rFonts w:hint="eastAsia" w:ascii="黑体" w:hAnsi="黑体" w:eastAsia="黑体" w:cs="黑体"/>
          <w:sz w:val="36"/>
          <w:szCs w:val="36"/>
          <w:lang w:val="en-US" w:eastAsia="zh-CN"/>
        </w:rPr>
        <w:t>车场配置</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9"/>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9" w:name="_Toc17674"/>
      <w:r>
        <w:rPr>
          <w:rFonts w:hint="eastAsia" w:ascii="黑体" w:hAnsi="黑体" w:eastAsia="黑体" w:cs="黑体"/>
          <w:sz w:val="32"/>
          <w:szCs w:val="32"/>
          <w:lang w:val="en-US" w:eastAsia="zh-CN"/>
        </w:rPr>
        <w:t>1.1功能点说明</w:t>
      </w:r>
      <w:bookmarkEnd w:id="18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7845" cy="8699500"/>
            <wp:effectExtent l="0" t="0" r="8255" b="0"/>
            <wp:docPr id="85" name="图片 85"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车场配置-新增停车场"/>
                    <pic:cNvPicPr>
                      <a:picLocks noChangeAspect="1"/>
                    </pic:cNvPicPr>
                  </pic:nvPicPr>
                  <pic:blipFill>
                    <a:blip r:embed="rId160"/>
                    <a:stretch>
                      <a:fillRect/>
                    </a:stretch>
                  </pic:blipFill>
                  <pic:spPr>
                    <a:xfrm>
                      <a:off x="0" y="0"/>
                      <a:ext cx="3077845" cy="86995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“隐藏收费统计信息</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后，将隐藏岗亭端和中央收费的收费员的收费汇总信息（包括首页显示和交接班的显示都将隐藏）</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bCs w:val="0"/>
          <w:kern w:val="2"/>
          <w:sz w:val="24"/>
          <w:szCs w:val="24"/>
          <w:lang w:val="en-US" w:eastAsia="zh-CN" w:bidi="ar-SA"/>
        </w:rPr>
        <w:t>一体机开闸计数时间</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是指当一体机开闸超过设定的时间后，将会清除计数，在下一辆车经过后将会直接关闸。应用场景是跟车太紧、开闸指令比关闸指令多的情况。开闸计数时间默认20秒。</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0" w:name="_Toc22962"/>
      <w:r>
        <w:rPr>
          <w:rFonts w:hint="eastAsia" w:ascii="黑体" w:hAnsi="黑体" w:eastAsia="黑体" w:cs="黑体"/>
          <w:sz w:val="32"/>
          <w:szCs w:val="32"/>
          <w:lang w:val="en-US" w:eastAsia="zh-CN"/>
        </w:rPr>
        <w:t>1.2操作指南</w:t>
      </w:r>
      <w:bookmarkEnd w:id="19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1" w:name="_Toc8902"/>
      <w:r>
        <w:rPr>
          <w:rFonts w:hint="eastAsia" w:ascii="黑体" w:hAnsi="黑体" w:eastAsia="黑体" w:cs="黑体"/>
          <w:sz w:val="32"/>
          <w:szCs w:val="32"/>
          <w:lang w:val="en-US" w:eastAsia="zh-CN"/>
        </w:rPr>
        <w:t>1.3应用场景</w:t>
      </w:r>
      <w:bookmarkEnd w:id="191"/>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28561"/>
      <w:r>
        <w:rPr>
          <w:rFonts w:hint="eastAsia" w:ascii="黑体" w:hAnsi="黑体" w:eastAsia="黑体" w:cs="黑体"/>
          <w:sz w:val="36"/>
          <w:szCs w:val="36"/>
          <w:lang w:val="en-US" w:eastAsia="zh-CN"/>
        </w:rPr>
        <w:t>车位配置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6539"/>
      <w:r>
        <w:rPr>
          <w:rFonts w:hint="eastAsia" w:ascii="黑体" w:hAnsi="黑体" w:eastAsia="黑体" w:cs="黑体"/>
          <w:sz w:val="32"/>
          <w:szCs w:val="32"/>
          <w:lang w:val="en-US" w:eastAsia="zh-CN"/>
        </w:rPr>
        <w:t>2.1功能点说明</w:t>
      </w:r>
      <w:bookmarkEnd w:id="19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2"/>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4415"/>
      <w:r>
        <w:rPr>
          <w:rFonts w:hint="eastAsia" w:ascii="黑体" w:hAnsi="黑体" w:eastAsia="黑体" w:cs="黑体"/>
          <w:sz w:val="32"/>
          <w:szCs w:val="32"/>
          <w:lang w:val="en-US" w:eastAsia="zh-CN"/>
        </w:rPr>
        <w:t>2.2操作指南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5421"/>
      <w:r>
        <w:rPr>
          <w:rFonts w:hint="eastAsia" w:ascii="黑体" w:hAnsi="黑体" w:eastAsia="黑体" w:cs="黑体"/>
          <w:sz w:val="32"/>
          <w:szCs w:val="32"/>
          <w:lang w:val="en-US" w:eastAsia="zh-CN"/>
        </w:rPr>
        <w:t>2.3应用场景</w:t>
      </w:r>
      <w:bookmarkEnd w:id="195"/>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9335"/>
      <w:r>
        <w:rPr>
          <w:rFonts w:hint="eastAsia" w:ascii="黑体" w:hAnsi="黑体" w:eastAsia="黑体" w:cs="黑体"/>
          <w:sz w:val="36"/>
          <w:szCs w:val="36"/>
          <w:lang w:val="en-US" w:eastAsia="zh-CN"/>
        </w:rPr>
        <w:t>通道配置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3"/>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20685"/>
      <w:r>
        <w:rPr>
          <w:rFonts w:hint="eastAsia" w:ascii="黑体" w:hAnsi="黑体" w:eastAsia="黑体" w:cs="黑体"/>
          <w:sz w:val="32"/>
          <w:szCs w:val="32"/>
          <w:lang w:val="en-US" w:eastAsia="zh-CN"/>
        </w:rPr>
        <w:t>3.1功能点说明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4"/>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5"/>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318000" cy="1149350"/>
            <wp:effectExtent l="0" t="0" r="0" b="635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pic:cNvPicPr>
                  </pic:nvPicPr>
                  <pic:blipFill>
                    <a:blip r:embed="rId166"/>
                    <a:stretch>
                      <a:fillRect/>
                    </a:stretch>
                  </pic:blipFill>
                  <pic:spPr>
                    <a:xfrm>
                      <a:off x="0" y="0"/>
                      <a:ext cx="4318000" cy="11493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结算类型分为以下四种：</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：车辆从该通道离场,不计算账单不收取停车费。</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：车辆从该通道离场，立即计算账单并收取停车费。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：车辆从该通道离场，立即计算账单但推延到实时结算通道再收取停车费；收取停车费用时,相同区域结算账单不合并,都有免费时长可用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延时结算合并</w:t>
      </w:r>
      <w:r>
        <w:rPr>
          <w:rFonts w:hint="eastAsia" w:ascii="微软雅黑" w:hAnsi="微软雅黑" w:eastAsia="微软雅黑" w:cs="微软雅黑"/>
          <w:b w:val="0"/>
          <w:bCs/>
          <w:kern w:val="2"/>
          <w:sz w:val="24"/>
          <w:szCs w:val="24"/>
          <w:lang w:val="en-US" w:eastAsia="zh-CN" w:bidi="ar-SA"/>
        </w:rPr>
        <w:t>：车辆从该通道离场，即计算账单但推延到实时结算通道再收取停车费；收取停车费用时，相同区域的结算账单合并为一个结算账单，即共有一段免费时长。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7"/>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8"/>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9"/>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70"/>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71"/>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2"/>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3"/>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4"/>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5"/>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6"/>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7"/>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9"/>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31455"/>
      <w:r>
        <w:rPr>
          <w:rFonts w:hint="eastAsia" w:ascii="黑体" w:hAnsi="黑体" w:eastAsia="黑体" w:cs="黑体"/>
          <w:sz w:val="32"/>
          <w:szCs w:val="32"/>
          <w:lang w:val="en-US" w:eastAsia="zh-CN"/>
        </w:rPr>
        <w:t>3.2操作指南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30298"/>
      <w:r>
        <w:rPr>
          <w:rFonts w:hint="eastAsia" w:ascii="黑体" w:hAnsi="黑体" w:eastAsia="黑体" w:cs="黑体"/>
          <w:sz w:val="32"/>
          <w:szCs w:val="32"/>
          <w:lang w:val="en-US" w:eastAsia="zh-CN"/>
        </w:rPr>
        <w:t>3.3应用场景</w:t>
      </w:r>
      <w:bookmarkEnd w:id="19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6900"/>
      <w:r>
        <w:rPr>
          <w:rFonts w:hint="eastAsia" w:ascii="黑体" w:hAnsi="黑体" w:eastAsia="黑体" w:cs="黑体"/>
          <w:sz w:val="36"/>
          <w:szCs w:val="36"/>
          <w:lang w:val="en-US" w:eastAsia="zh-CN"/>
        </w:rPr>
        <w:t>收费规则配置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80"/>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5377"/>
      <w:r>
        <w:rPr>
          <w:rFonts w:hint="eastAsia" w:ascii="黑体" w:hAnsi="黑体" w:eastAsia="黑体" w:cs="黑体"/>
          <w:sz w:val="32"/>
          <w:szCs w:val="32"/>
          <w:lang w:val="en-US" w:eastAsia="zh-CN"/>
        </w:rPr>
        <w:t>4.1功能点说明</w:t>
      </w:r>
      <w:bookmarkEnd w:id="20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81"/>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2"/>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3"/>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0766"/>
      <w:r>
        <w:rPr>
          <w:rFonts w:hint="eastAsia" w:ascii="黑体" w:hAnsi="黑体" w:eastAsia="黑体" w:cs="黑体"/>
          <w:sz w:val="32"/>
          <w:szCs w:val="32"/>
          <w:lang w:val="en-US" w:eastAsia="zh-CN"/>
        </w:rPr>
        <w:t>4.2操作指南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460"/>
      <w:r>
        <w:rPr>
          <w:rFonts w:hint="eastAsia" w:ascii="黑体" w:hAnsi="黑体" w:eastAsia="黑体" w:cs="黑体"/>
          <w:sz w:val="32"/>
          <w:szCs w:val="32"/>
          <w:lang w:val="en-US" w:eastAsia="zh-CN"/>
        </w:rPr>
        <w:t>4.3应用场景</w:t>
      </w:r>
      <w:bookmarkEnd w:id="20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3524"/>
      <w:r>
        <w:rPr>
          <w:rFonts w:hint="eastAsia" w:ascii="黑体" w:hAnsi="黑体" w:eastAsia="黑体" w:cs="黑体"/>
          <w:sz w:val="36"/>
          <w:szCs w:val="36"/>
          <w:lang w:val="en-US" w:eastAsia="zh-CN"/>
        </w:rPr>
        <w:t>收费规则关联</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4"/>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28039"/>
      <w:r>
        <w:rPr>
          <w:rFonts w:hint="eastAsia" w:ascii="黑体" w:hAnsi="黑体" w:eastAsia="黑体" w:cs="黑体"/>
          <w:sz w:val="32"/>
          <w:szCs w:val="32"/>
          <w:lang w:val="en-US" w:eastAsia="zh-CN"/>
        </w:rPr>
        <w:t>5.1功能点说明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5"/>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6"/>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7"/>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8"/>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9"/>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90"/>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91"/>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18874"/>
      <w:r>
        <w:rPr>
          <w:rFonts w:hint="eastAsia" w:ascii="黑体" w:hAnsi="黑体" w:eastAsia="黑体" w:cs="黑体"/>
          <w:sz w:val="32"/>
          <w:szCs w:val="32"/>
          <w:lang w:val="en-US" w:eastAsia="zh-CN"/>
        </w:rPr>
        <w:t>5.2操作指南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28455"/>
      <w:r>
        <w:rPr>
          <w:rFonts w:hint="eastAsia" w:ascii="黑体" w:hAnsi="黑体" w:eastAsia="黑体" w:cs="黑体"/>
          <w:sz w:val="32"/>
          <w:szCs w:val="32"/>
          <w:lang w:val="en-US" w:eastAsia="zh-CN"/>
        </w:rPr>
        <w:t>5.3应用场景</w:t>
      </w:r>
      <w:bookmarkEnd w:id="207"/>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10756"/>
      <w:r>
        <w:rPr>
          <w:rFonts w:hint="eastAsia" w:ascii="黑体" w:hAnsi="黑体" w:eastAsia="黑体" w:cs="黑体"/>
          <w:sz w:val="36"/>
          <w:szCs w:val="36"/>
          <w:lang w:val="en-US" w:eastAsia="zh-CN"/>
        </w:rPr>
        <w:t>模式切换事件</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2"/>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11381"/>
      <w:r>
        <w:rPr>
          <w:rFonts w:hint="eastAsia" w:ascii="黑体" w:hAnsi="黑体" w:eastAsia="黑体" w:cs="黑体"/>
          <w:sz w:val="32"/>
          <w:szCs w:val="32"/>
          <w:lang w:val="en-US" w:eastAsia="zh-CN"/>
        </w:rPr>
        <w:t>6.1功能点说明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3"/>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4"/>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11960"/>
      <w:r>
        <w:rPr>
          <w:rFonts w:hint="eastAsia" w:ascii="黑体" w:hAnsi="黑体" w:eastAsia="黑体" w:cs="黑体"/>
          <w:sz w:val="32"/>
          <w:szCs w:val="32"/>
          <w:lang w:val="en-US" w:eastAsia="zh-CN"/>
        </w:rPr>
        <w:t>6.2操作指南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5374"/>
      <w:r>
        <w:rPr>
          <w:rFonts w:hint="eastAsia" w:ascii="黑体" w:hAnsi="黑体" w:eastAsia="黑体" w:cs="黑体"/>
          <w:sz w:val="32"/>
          <w:szCs w:val="32"/>
          <w:lang w:val="en-US" w:eastAsia="zh-CN"/>
        </w:rPr>
        <w:t>6.3应用场景</w:t>
      </w:r>
      <w:bookmarkEnd w:id="21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19596"/>
      <w:r>
        <w:rPr>
          <w:rFonts w:hint="eastAsia" w:ascii="黑体" w:hAnsi="黑体" w:eastAsia="黑体" w:cs="黑体"/>
          <w:sz w:val="36"/>
          <w:szCs w:val="36"/>
          <w:lang w:val="en-US" w:eastAsia="zh-CN"/>
        </w:rPr>
        <w:t>区域统计设置</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5"/>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3" w:name="_Toc5075"/>
      <w:r>
        <w:rPr>
          <w:rFonts w:hint="eastAsia" w:ascii="Arial" w:hAnsi="Arial" w:eastAsia="微软雅黑" w:cstheme="minorBidi"/>
          <w:b w:val="0"/>
          <w:bCs/>
          <w:kern w:val="2"/>
          <w:sz w:val="36"/>
          <w:szCs w:val="36"/>
          <w:lang w:val="en-US" w:eastAsia="zh-CN" w:bidi="ar-SA"/>
        </w:rPr>
        <w:t>后台管理</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6"/>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4" w:name="_Toc11510"/>
      <w:r>
        <w:rPr>
          <w:rFonts w:hint="eastAsia" w:ascii="黑体" w:hAnsi="黑体" w:eastAsia="黑体" w:cs="黑体"/>
          <w:sz w:val="36"/>
          <w:szCs w:val="36"/>
          <w:lang w:val="en-US" w:eastAsia="zh-CN"/>
        </w:rPr>
        <w:t>外置屏配置</w:t>
      </w:r>
      <w:bookmarkEnd w:id="2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7"/>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6517"/>
      <w:r>
        <w:rPr>
          <w:rFonts w:hint="eastAsia" w:ascii="黑体" w:hAnsi="黑体" w:eastAsia="黑体" w:cs="黑体"/>
          <w:sz w:val="32"/>
          <w:szCs w:val="32"/>
          <w:lang w:val="en-US" w:eastAsia="zh-CN"/>
        </w:rPr>
        <w:t>1.1功能点说明</w:t>
      </w:r>
      <w:bookmarkEnd w:id="2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8"/>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9"/>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200"/>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01"/>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2"/>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3"/>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4"/>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5"/>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6" w:name="_Toc27855"/>
      <w:r>
        <w:rPr>
          <w:rFonts w:hint="eastAsia" w:ascii="黑体" w:hAnsi="黑体" w:eastAsia="黑体" w:cs="黑体"/>
          <w:sz w:val="32"/>
          <w:szCs w:val="32"/>
          <w:lang w:val="en-US" w:eastAsia="zh-CN"/>
        </w:rPr>
        <w:t>1.2操作指南</w:t>
      </w:r>
      <w:bookmarkEnd w:id="21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7" w:name="_Toc10314"/>
      <w:r>
        <w:rPr>
          <w:rFonts w:hint="eastAsia" w:ascii="黑体" w:hAnsi="黑体" w:eastAsia="黑体" w:cs="黑体"/>
          <w:sz w:val="32"/>
          <w:szCs w:val="32"/>
          <w:lang w:val="en-US" w:eastAsia="zh-CN"/>
        </w:rPr>
        <w:t>1.3应用场景</w:t>
      </w:r>
      <w:bookmarkEnd w:id="217"/>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5393"/>
      <w:r>
        <w:rPr>
          <w:rFonts w:hint="eastAsia" w:ascii="黑体" w:hAnsi="黑体" w:eastAsia="黑体" w:cs="黑体"/>
          <w:sz w:val="36"/>
          <w:szCs w:val="36"/>
          <w:lang w:val="en-US" w:eastAsia="zh-CN"/>
        </w:rPr>
        <w:t>外部服务配置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2039"/>
      <w:r>
        <w:rPr>
          <w:rFonts w:hint="eastAsia" w:ascii="黑体" w:hAnsi="黑体" w:eastAsia="黑体" w:cs="黑体"/>
          <w:sz w:val="32"/>
          <w:szCs w:val="32"/>
          <w:lang w:val="en-US" w:eastAsia="zh-CN"/>
        </w:rPr>
        <w:t>2.1功能点说明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7"/>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8"/>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8033"/>
      <w:r>
        <w:rPr>
          <w:rFonts w:hint="eastAsia" w:ascii="黑体" w:hAnsi="黑体" w:eastAsia="黑体" w:cs="黑体"/>
          <w:sz w:val="32"/>
          <w:szCs w:val="32"/>
          <w:lang w:val="en-US" w:eastAsia="zh-CN"/>
        </w:rPr>
        <w:t>2.2操作指南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32190"/>
      <w:r>
        <w:rPr>
          <w:rFonts w:hint="eastAsia" w:ascii="黑体" w:hAnsi="黑体" w:eastAsia="黑体" w:cs="黑体"/>
          <w:sz w:val="32"/>
          <w:szCs w:val="32"/>
          <w:lang w:val="en-US" w:eastAsia="zh-CN"/>
        </w:rPr>
        <w:t>2.3应用场景</w:t>
      </w:r>
      <w:bookmarkEnd w:id="22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5864"/>
      <w:r>
        <w:rPr>
          <w:rFonts w:hint="eastAsia" w:ascii="黑体" w:hAnsi="黑体" w:eastAsia="黑体" w:cs="黑体"/>
          <w:sz w:val="36"/>
          <w:szCs w:val="36"/>
          <w:lang w:val="en-US" w:eastAsia="zh-CN"/>
        </w:rPr>
        <w:t>数据及日志</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9"/>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0022"/>
      <w:r>
        <w:rPr>
          <w:rFonts w:hint="eastAsia" w:ascii="黑体" w:hAnsi="黑体" w:eastAsia="黑体" w:cs="黑体"/>
          <w:sz w:val="32"/>
          <w:szCs w:val="32"/>
          <w:lang w:val="en-US" w:eastAsia="zh-CN"/>
        </w:rPr>
        <w:t>3.1功能点说明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10"/>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11"/>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2633"/>
      <w:r>
        <w:rPr>
          <w:rFonts w:hint="eastAsia" w:ascii="黑体" w:hAnsi="黑体" w:eastAsia="黑体" w:cs="黑体"/>
          <w:sz w:val="32"/>
          <w:szCs w:val="32"/>
          <w:lang w:val="en-US" w:eastAsia="zh-CN"/>
        </w:rPr>
        <w:t>3.2操作指南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2537"/>
      <w:r>
        <w:rPr>
          <w:rFonts w:hint="eastAsia" w:ascii="黑体" w:hAnsi="黑体" w:eastAsia="黑体" w:cs="黑体"/>
          <w:sz w:val="32"/>
          <w:szCs w:val="32"/>
          <w:lang w:val="en-US" w:eastAsia="zh-CN"/>
        </w:rPr>
        <w:t>3.3应用场景</w:t>
      </w:r>
      <w:bookmarkEnd w:id="22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31312"/>
      <w:r>
        <w:rPr>
          <w:rFonts w:hint="eastAsia" w:ascii="黑体" w:hAnsi="黑体" w:eastAsia="黑体" w:cs="黑体"/>
          <w:sz w:val="36"/>
          <w:szCs w:val="36"/>
          <w:lang w:val="en-US" w:eastAsia="zh-CN"/>
        </w:rPr>
        <w:t>一点停配置</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3"/>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7" w:name="_Toc7874"/>
      <w:r>
        <w:rPr>
          <w:rFonts w:hint="eastAsia" w:ascii="黑体" w:hAnsi="黑体" w:eastAsia="黑体" w:cs="黑体"/>
          <w:sz w:val="36"/>
          <w:szCs w:val="36"/>
          <w:lang w:val="en-US" w:eastAsia="zh-CN"/>
        </w:rPr>
        <w:t>支付配置</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855"/>
      <w:r>
        <w:rPr>
          <w:rFonts w:hint="eastAsia" w:ascii="黑体" w:hAnsi="黑体" w:eastAsia="黑体" w:cs="黑体"/>
          <w:sz w:val="32"/>
          <w:szCs w:val="32"/>
          <w:lang w:val="en-US" w:eastAsia="zh-CN"/>
        </w:rPr>
        <w:t>5.1功能点说明</w:t>
      </w:r>
      <w:bookmarkEnd w:id="2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4"/>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5"/>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6"/>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7"/>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8"/>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9"/>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20"/>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25419"/>
      <w:r>
        <w:rPr>
          <w:rFonts w:hint="eastAsia" w:ascii="黑体" w:hAnsi="黑体" w:eastAsia="黑体" w:cs="黑体"/>
          <w:sz w:val="32"/>
          <w:szCs w:val="32"/>
          <w:lang w:val="en-US" w:eastAsia="zh-CN"/>
        </w:rPr>
        <w:t>5.2操作指南</w:t>
      </w:r>
      <w:bookmarkEnd w:id="22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0" w:name="_Toc20490"/>
      <w:r>
        <w:rPr>
          <w:rFonts w:hint="eastAsia" w:ascii="黑体" w:hAnsi="黑体" w:eastAsia="黑体" w:cs="黑体"/>
          <w:sz w:val="32"/>
          <w:szCs w:val="32"/>
          <w:lang w:val="en-US" w:eastAsia="zh-CN"/>
        </w:rPr>
        <w:t>5.3应用场景</w:t>
      </w:r>
      <w:bookmarkEnd w:id="230"/>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748"/>
      <w:r>
        <w:rPr>
          <w:rFonts w:hint="eastAsia" w:ascii="黑体" w:hAnsi="黑体" w:eastAsia="黑体" w:cs="黑体"/>
          <w:sz w:val="36"/>
          <w:szCs w:val="36"/>
          <w:lang w:val="en-US" w:eastAsia="zh-CN"/>
        </w:rPr>
        <w:t>在场数据盘点</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21"/>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25111"/>
      <w:r>
        <w:rPr>
          <w:rFonts w:hint="eastAsia" w:ascii="黑体" w:hAnsi="黑体" w:eastAsia="黑体" w:cs="黑体"/>
          <w:sz w:val="32"/>
          <w:szCs w:val="32"/>
          <w:lang w:val="en-US" w:eastAsia="zh-CN"/>
        </w:rPr>
        <w:t>6.1功能点说明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2"/>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3"/>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4"/>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5"/>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29583"/>
      <w:r>
        <w:rPr>
          <w:rFonts w:hint="eastAsia" w:ascii="黑体" w:hAnsi="黑体" w:eastAsia="黑体" w:cs="黑体"/>
          <w:sz w:val="32"/>
          <w:szCs w:val="32"/>
          <w:lang w:val="en-US" w:eastAsia="zh-CN"/>
        </w:rPr>
        <w:t>6.2操作指南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12018"/>
      <w:r>
        <w:rPr>
          <w:rFonts w:hint="eastAsia" w:ascii="黑体" w:hAnsi="黑体" w:eastAsia="黑体" w:cs="黑体"/>
          <w:sz w:val="32"/>
          <w:szCs w:val="32"/>
          <w:lang w:val="en-US" w:eastAsia="zh-CN"/>
        </w:rPr>
        <w:t>6.3应用场景</w:t>
      </w:r>
      <w:bookmarkEnd w:id="234"/>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30555"/>
      <w:r>
        <w:rPr>
          <w:rFonts w:hint="eastAsia" w:ascii="黑体" w:hAnsi="黑体" w:eastAsia="黑体" w:cs="黑体"/>
          <w:sz w:val="36"/>
          <w:szCs w:val="36"/>
          <w:lang w:val="en-US" w:eastAsia="zh-CN"/>
        </w:rPr>
        <w:t>自助缴费机</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6"/>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4246"/>
      <w:r>
        <w:rPr>
          <w:rFonts w:hint="eastAsia" w:ascii="黑体" w:hAnsi="黑体" w:eastAsia="黑体" w:cs="黑体"/>
          <w:sz w:val="32"/>
          <w:szCs w:val="32"/>
          <w:lang w:val="en-US" w:eastAsia="zh-CN"/>
        </w:rPr>
        <w:t>7.1缴费机管理功能点说明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7"/>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8"/>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9"/>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30"/>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31"/>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2"/>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1775"/>
      <w:r>
        <w:rPr>
          <w:rFonts w:hint="eastAsia" w:ascii="黑体" w:hAnsi="黑体" w:eastAsia="黑体" w:cs="黑体"/>
          <w:sz w:val="32"/>
          <w:szCs w:val="32"/>
          <w:lang w:val="en-US" w:eastAsia="zh-CN"/>
        </w:rPr>
        <w:t>7.2缴费机交易流水功能点说明</w:t>
      </w:r>
      <w:bookmarkEnd w:id="237"/>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4"/>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20856"/>
      <w:r>
        <w:rPr>
          <w:rFonts w:hint="eastAsia" w:ascii="黑体" w:hAnsi="黑体" w:eastAsia="黑体" w:cs="黑体"/>
          <w:sz w:val="32"/>
          <w:szCs w:val="32"/>
          <w:lang w:val="en-US" w:eastAsia="zh-CN"/>
        </w:rPr>
        <w:t>7.3操作指南</w:t>
      </w:r>
      <w:bookmarkEnd w:id="23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9" w:name="_Toc19983"/>
      <w:r>
        <w:rPr>
          <w:rFonts w:hint="eastAsia" w:ascii="黑体" w:hAnsi="黑体" w:eastAsia="黑体" w:cs="黑体"/>
          <w:sz w:val="32"/>
          <w:szCs w:val="32"/>
          <w:lang w:val="en-US" w:eastAsia="zh-CN"/>
        </w:rPr>
        <w:t>7.4应用场景</w:t>
      </w:r>
      <w:bookmarkEnd w:id="239"/>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0" w:name="_Toc21732"/>
      <w:r>
        <w:rPr>
          <w:rFonts w:hint="eastAsia" w:ascii="黑体" w:hAnsi="黑体" w:eastAsia="黑体" w:cs="黑体"/>
          <w:sz w:val="36"/>
          <w:szCs w:val="36"/>
          <w:lang w:val="en-US" w:eastAsia="zh-CN"/>
        </w:rPr>
        <w:t>个性化开关配置</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1" w:name="_Toc22282"/>
      <w:r>
        <w:rPr>
          <w:rFonts w:hint="eastAsia" w:ascii="Arial" w:hAnsi="Arial" w:eastAsia="微软雅黑" w:cstheme="minorBidi"/>
          <w:b w:val="0"/>
          <w:bCs/>
          <w:kern w:val="2"/>
          <w:sz w:val="36"/>
          <w:szCs w:val="36"/>
          <w:lang w:val="en-US" w:eastAsia="zh-CN" w:bidi="ar-SA"/>
        </w:rPr>
        <w:t>一体机配置</w:t>
      </w:r>
      <w:bookmarkEnd w:id="2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2" w:name="_Toc10068"/>
      <w:r>
        <w:rPr>
          <w:rFonts w:hint="eastAsia" w:ascii="黑体" w:hAnsi="黑体" w:eastAsia="黑体" w:cs="黑体"/>
          <w:sz w:val="36"/>
          <w:szCs w:val="36"/>
          <w:lang w:val="en-US" w:eastAsia="zh-CN"/>
        </w:rPr>
        <w:t>摄像机</w:t>
      </w:r>
      <w:bookmarkEnd w:id="2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6"/>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7"/>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3" w:name="_Toc8755"/>
      <w:r>
        <w:rPr>
          <w:rFonts w:hint="eastAsia" w:ascii="黑体" w:hAnsi="黑体" w:eastAsia="黑体" w:cs="黑体"/>
          <w:sz w:val="36"/>
          <w:szCs w:val="36"/>
          <w:lang w:val="en-US" w:eastAsia="zh-CN"/>
        </w:rPr>
        <w:t>转换板</w:t>
      </w:r>
      <w:bookmarkEnd w:id="24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8"/>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9"/>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24203"/>
      <w:r>
        <w:rPr>
          <w:rFonts w:hint="eastAsia" w:ascii="黑体" w:hAnsi="黑体" w:eastAsia="黑体" w:cs="黑体"/>
          <w:sz w:val="36"/>
          <w:szCs w:val="36"/>
          <w:lang w:val="en-US" w:eastAsia="zh-CN"/>
        </w:rPr>
        <w:t>显示屏</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41"/>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5" w:name="_Toc4629"/>
      <w:r>
        <w:rPr>
          <w:rFonts w:hint="eastAsia" w:ascii="黑体" w:hAnsi="黑体" w:eastAsia="黑体" w:cs="黑体"/>
          <w:sz w:val="36"/>
          <w:szCs w:val="36"/>
          <w:lang w:val="en-US" w:eastAsia="zh-CN"/>
        </w:rPr>
        <w:t>语音板</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2"/>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3"/>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12150"/>
      <w:r>
        <w:rPr>
          <w:rFonts w:hint="eastAsia" w:ascii="黑体" w:hAnsi="黑体" w:eastAsia="黑体" w:cs="黑体"/>
          <w:sz w:val="36"/>
          <w:szCs w:val="36"/>
          <w:lang w:val="en-US" w:eastAsia="zh-CN"/>
        </w:rPr>
        <w:t>卡票机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4"/>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5"/>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6728"/>
      <w:r>
        <w:rPr>
          <w:rFonts w:hint="eastAsia" w:ascii="黑体" w:hAnsi="黑体" w:eastAsia="黑体" w:cs="黑体"/>
          <w:sz w:val="36"/>
          <w:szCs w:val="36"/>
          <w:lang w:val="en-US" w:eastAsia="zh-CN"/>
        </w:rPr>
        <w:t>主控板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6"/>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7"/>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8"/>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4128"/>
      <w:r>
        <w:rPr>
          <w:rFonts w:hint="eastAsia" w:ascii="黑体" w:hAnsi="黑体" w:eastAsia="黑体" w:cs="黑体"/>
          <w:sz w:val="36"/>
          <w:szCs w:val="36"/>
          <w:lang w:val="en-US" w:eastAsia="zh-CN"/>
        </w:rPr>
        <w:t>一体机服务</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9"/>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50"/>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0000"/>
      <w:r>
        <w:rPr>
          <w:rFonts w:hint="eastAsia" w:ascii="黑体" w:hAnsi="黑体" w:eastAsia="黑体" w:cs="黑体"/>
          <w:sz w:val="36"/>
          <w:szCs w:val="36"/>
          <w:lang w:val="en-US" w:eastAsia="zh-CN"/>
        </w:rPr>
        <w:t>显示及语言</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5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2"/>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3"/>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11836"/>
      <w:r>
        <w:rPr>
          <w:rFonts w:hint="eastAsia" w:ascii="黑体" w:hAnsi="黑体" w:eastAsia="黑体" w:cs="黑体"/>
          <w:sz w:val="36"/>
          <w:szCs w:val="36"/>
          <w:lang w:val="en-US" w:eastAsia="zh-CN"/>
        </w:rPr>
        <w:t>配置下发</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4"/>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5"/>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5504"/>
      <w:r>
        <w:rPr>
          <w:rFonts w:hint="eastAsia" w:ascii="黑体" w:hAnsi="黑体" w:eastAsia="黑体" w:cs="黑体"/>
          <w:sz w:val="36"/>
          <w:szCs w:val="36"/>
          <w:lang w:val="en-US" w:eastAsia="zh-CN"/>
        </w:rPr>
        <w:t>其他硬件配置</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6"/>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7"/>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A26323"/>
    <w:rsid w:val="00B92740"/>
    <w:rsid w:val="010C220C"/>
    <w:rsid w:val="0113717E"/>
    <w:rsid w:val="0117003B"/>
    <w:rsid w:val="011A3190"/>
    <w:rsid w:val="014A43DD"/>
    <w:rsid w:val="0181716B"/>
    <w:rsid w:val="01C40E4A"/>
    <w:rsid w:val="01E07E58"/>
    <w:rsid w:val="020C5C14"/>
    <w:rsid w:val="02C25CDB"/>
    <w:rsid w:val="02C625AE"/>
    <w:rsid w:val="030E150C"/>
    <w:rsid w:val="03290691"/>
    <w:rsid w:val="033612F5"/>
    <w:rsid w:val="033D2D59"/>
    <w:rsid w:val="03516EC1"/>
    <w:rsid w:val="03CD2D22"/>
    <w:rsid w:val="03E658C8"/>
    <w:rsid w:val="03F876BE"/>
    <w:rsid w:val="04135254"/>
    <w:rsid w:val="044327E5"/>
    <w:rsid w:val="0472433B"/>
    <w:rsid w:val="04C549B0"/>
    <w:rsid w:val="04F909F6"/>
    <w:rsid w:val="04FD2143"/>
    <w:rsid w:val="0502032C"/>
    <w:rsid w:val="052800A4"/>
    <w:rsid w:val="052812B5"/>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2D1C2D"/>
    <w:rsid w:val="0A372A94"/>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92303B"/>
    <w:rsid w:val="10BA1868"/>
    <w:rsid w:val="10FD4923"/>
    <w:rsid w:val="110A038F"/>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6251DB"/>
    <w:rsid w:val="17D73744"/>
    <w:rsid w:val="1809258F"/>
    <w:rsid w:val="18286177"/>
    <w:rsid w:val="19044860"/>
    <w:rsid w:val="190E33DD"/>
    <w:rsid w:val="19895649"/>
    <w:rsid w:val="198956A4"/>
    <w:rsid w:val="1A175559"/>
    <w:rsid w:val="1A1C117A"/>
    <w:rsid w:val="1A755F60"/>
    <w:rsid w:val="1AC67D62"/>
    <w:rsid w:val="1ADE40AD"/>
    <w:rsid w:val="1AE35C6C"/>
    <w:rsid w:val="1AF21C9C"/>
    <w:rsid w:val="1B29570E"/>
    <w:rsid w:val="1B312368"/>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950C32"/>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182D06"/>
    <w:rsid w:val="298E31A4"/>
    <w:rsid w:val="29946263"/>
    <w:rsid w:val="29A5087C"/>
    <w:rsid w:val="2A21781E"/>
    <w:rsid w:val="2AB34912"/>
    <w:rsid w:val="2B0753AD"/>
    <w:rsid w:val="2B33548B"/>
    <w:rsid w:val="2B4B640D"/>
    <w:rsid w:val="2B7F0C38"/>
    <w:rsid w:val="2BBA1197"/>
    <w:rsid w:val="2BDB44E9"/>
    <w:rsid w:val="2C28487A"/>
    <w:rsid w:val="2C3F7AB8"/>
    <w:rsid w:val="2C583927"/>
    <w:rsid w:val="2C584C21"/>
    <w:rsid w:val="2C9B35DF"/>
    <w:rsid w:val="2CA04DAF"/>
    <w:rsid w:val="2CA77D2F"/>
    <w:rsid w:val="2CD23D07"/>
    <w:rsid w:val="2CD37072"/>
    <w:rsid w:val="2CDC051E"/>
    <w:rsid w:val="2D743BB1"/>
    <w:rsid w:val="2D7548B2"/>
    <w:rsid w:val="2D9812C2"/>
    <w:rsid w:val="2DA2273A"/>
    <w:rsid w:val="2DF71B8C"/>
    <w:rsid w:val="2DFB6860"/>
    <w:rsid w:val="2E1F5642"/>
    <w:rsid w:val="2E986040"/>
    <w:rsid w:val="2E9B45AB"/>
    <w:rsid w:val="2EBD7ECF"/>
    <w:rsid w:val="2ED10ADC"/>
    <w:rsid w:val="2F0B055E"/>
    <w:rsid w:val="2F171C2D"/>
    <w:rsid w:val="2F29755A"/>
    <w:rsid w:val="2F4B7FF7"/>
    <w:rsid w:val="2F8531F7"/>
    <w:rsid w:val="2F874A58"/>
    <w:rsid w:val="2FAC6DC6"/>
    <w:rsid w:val="2FD413E9"/>
    <w:rsid w:val="30095792"/>
    <w:rsid w:val="30772E56"/>
    <w:rsid w:val="308E135A"/>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354043"/>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BE843A8"/>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4116A4"/>
    <w:rsid w:val="42A2711F"/>
    <w:rsid w:val="42D07B24"/>
    <w:rsid w:val="42FB001E"/>
    <w:rsid w:val="43B129BB"/>
    <w:rsid w:val="43E66D59"/>
    <w:rsid w:val="440059FF"/>
    <w:rsid w:val="443C06E2"/>
    <w:rsid w:val="443E2387"/>
    <w:rsid w:val="44530FF1"/>
    <w:rsid w:val="44586578"/>
    <w:rsid w:val="44755537"/>
    <w:rsid w:val="44A23EB2"/>
    <w:rsid w:val="45026E01"/>
    <w:rsid w:val="45076834"/>
    <w:rsid w:val="45221741"/>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830B8"/>
    <w:rsid w:val="4B9B081C"/>
    <w:rsid w:val="4BA0044A"/>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A92BB4"/>
    <w:rsid w:val="53DC5EF0"/>
    <w:rsid w:val="53E02CBF"/>
    <w:rsid w:val="54246C0F"/>
    <w:rsid w:val="54395FC4"/>
    <w:rsid w:val="546A3602"/>
    <w:rsid w:val="54A552A1"/>
    <w:rsid w:val="54C06AA5"/>
    <w:rsid w:val="54D8581D"/>
    <w:rsid w:val="54E93B6C"/>
    <w:rsid w:val="5501072F"/>
    <w:rsid w:val="552C308E"/>
    <w:rsid w:val="552C6C03"/>
    <w:rsid w:val="55DB4868"/>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545B9"/>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EFA6681"/>
    <w:rsid w:val="5F2B4417"/>
    <w:rsid w:val="5FAF4793"/>
    <w:rsid w:val="5FB96DA7"/>
    <w:rsid w:val="5FC0703D"/>
    <w:rsid w:val="5FF94326"/>
    <w:rsid w:val="60112BE5"/>
    <w:rsid w:val="60192686"/>
    <w:rsid w:val="6047410B"/>
    <w:rsid w:val="60A06E58"/>
    <w:rsid w:val="60D225D8"/>
    <w:rsid w:val="61262C7F"/>
    <w:rsid w:val="612D6503"/>
    <w:rsid w:val="615210E8"/>
    <w:rsid w:val="615250E3"/>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3619F"/>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4C78F8"/>
    <w:rsid w:val="6B63742D"/>
    <w:rsid w:val="6B653D71"/>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9371B1"/>
    <w:rsid w:val="6FA3113D"/>
    <w:rsid w:val="6FDB7A51"/>
    <w:rsid w:val="6FEC6B72"/>
    <w:rsid w:val="702853CD"/>
    <w:rsid w:val="70480D75"/>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6663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787E96"/>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135B1D"/>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0" Type="http://schemas.openxmlformats.org/officeDocument/2006/relationships/fontTable" Target="fontTable.xml"/><Relationship Id="rId26" Type="http://schemas.openxmlformats.org/officeDocument/2006/relationships/image" Target="media/image23.png"/><Relationship Id="rId259" Type="http://schemas.openxmlformats.org/officeDocument/2006/relationships/numbering" Target="numbering.xml"/><Relationship Id="rId258" Type="http://schemas.openxmlformats.org/officeDocument/2006/relationships/customXml" Target="../customXml/item1.xml"/><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76</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2018-05-24T08:14:42Z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